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Nota metodológica</w:t>
      </w:r>
    </w:p>
    <w:p>
      <w:pPr>
        <w:spacing w:after="120"/>
      </w:pPr>
      <w:r>
        <w:rPr>
          <w:sz w:val="26"/>
          <w:szCs w:val="26"/>
        </w:rPr>
        <w:t xml:space="preserve">Tutor Interactivo de Subredes y VLSM</w:t>
      </w:r>
    </w:p>
    <w:p>
      <w:pPr>
        <w:spacing w:after="120"/>
      </w:pPr>
      <w:r>
        <w:rPr>
          <w:b/>
          <w:bCs/>
        </w:rPr>
        <w:t xml:space="preserve">Subgrupo: </w:t>
      </w:r>
      <w:r>
        <w:t xml:space="preserve">Wilson Fernando Guerrero Álvarez (Universidad UTE, Facultad de Ciencias de la Ingeniería e Industrias, VC-2026-015) · Tuesman Daniel Castillo Calvas (UTPL, Facultad de Ingenierías y Arquitectura, VC-2026-022).</w:t>
      </w:r>
    </w:p>
    <w:p>
      <w:pPr>
        <w:spacing w:after="120"/>
      </w:pPr>
      <w:r>
        <w:rPr>
          <w:b/>
          <w:bCs/>
        </w:rPr>
        <w:t xml:space="preserve">Curso: </w:t>
      </w:r>
      <w:r>
        <w:t xml:space="preserve">Vibe Coding CEDIA 2026 · entregable del módulo 5 (lección R5.3) · guía de proyecto 18, actividad interactiva o simulación educativa.</w:t>
      </w:r>
    </w:p>
    <w:p>
      <w:pPr>
        <w:spacing w:after="120"/>
      </w:pPr>
      <w:r>
        <w:rPr>
          <w:b/>
          <w:bCs/>
        </w:rPr>
        <w:t xml:space="preserve">Versión de esta nota: </w:t>
      </w:r>
      <w:r>
        <w:t xml:space="preserve">v2 · 11 de octubre de 2026 · leída y confirmada por ambos autores.</w:t>
      </w:r>
    </w:p>
    <w:p>
      <w:pPr>
        <w:pStyle w:val="Heading1"/>
        <w:spacing w:after="120" w:before="280"/>
      </w:pPr>
      <w:r>
        <w:t xml:space="preserve">1. Propósito y límite</w:t>
      </w:r>
    </w:p>
    <w:p>
      <w:pPr>
        <w:spacing w:after="120"/>
      </w:pPr>
      <w:r>
        <w:t xml:space="preserve">El tutor es una página web que ayuda a estudiantes de Redes a practicar subnetting y VLSM. El estudiante ingresa una red base, un prefijo y los hosts de cada subred; el tutor devuelve la tabla de direccionamiento, un mapa del espacio asignado y una explicación paso a paso. En la pestaña Practicar genera ejercicios en tres niveles, corrige cada campo y ofrece pistas.</w:t>
      </w:r>
    </w:p>
    <w:p>
      <w:pPr>
        <w:spacing w:after="120"/>
      </w:pPr>
      <w:r>
        <w:t xml:space="preserve">Hasta dónde llega:</w:t>
      </w:r>
    </w:p>
    <w:p>
      <w:pPr>
        <w:pStyle w:val="ListParagraph"/>
        <w:numPr>
          <w:ilvl w:val="0"/>
          <w:numId w:val="2"/>
        </w:numPr>
        <w:spacing w:after="60"/>
      </w:pPr>
      <w:r>
        <w:t xml:space="preserve">No sustituye una evaluación formal ni califica de forma oficial.</w:t>
      </w:r>
    </w:p>
    <w:p>
      <w:pPr>
        <w:pStyle w:val="ListParagraph"/>
        <w:numPr>
          <w:ilvl w:val="0"/>
          <w:numId w:val="2"/>
        </w:numPr>
        <w:spacing w:after="60"/>
      </w:pPr>
      <w:r>
        <w:t xml:space="preserve">No configura equipos ni diseña una red completa (enrutamiento, VLAN, seguridad).</w:t>
      </w:r>
    </w:p>
    <w:p>
      <w:pPr>
        <w:pStyle w:val="ListParagraph"/>
        <w:numPr>
          <w:ilvl w:val="0"/>
          <w:numId w:val="2"/>
        </w:numPr>
        <w:spacing w:after="60"/>
      </w:pPr>
      <w:r>
        <w:t xml:space="preserve">Fuera de un paquete SCORM no envía notas a un LMS. En Canvas se usó como página HTML enlazada, porque no hay permiso para cargar SCORM.</w:t>
      </w:r>
    </w:p>
    <w:p>
      <w:pPr>
        <w:pStyle w:val="ListParagraph"/>
        <w:numPr>
          <w:ilvl w:val="0"/>
          <w:numId w:val="2"/>
        </w:numPr>
        <w:spacing w:after="60"/>
      </w:pPr>
      <w:r>
        <w:t xml:space="preserve">Todo el cálculo ocurre en el navegador. El progreso se guarda solo en el almacenamiento local de ese navegador; no se envía a ningún servidor.</w:t>
      </w:r>
    </w:p>
    <w:p>
      <w:pPr>
        <w:pStyle w:val="Heading1"/>
        <w:spacing w:after="120" w:before="280"/>
      </w:pPr>
      <w:r>
        <w:t xml:space="preserve">2. Recorrido revisable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7126"/>
      </w:tblGrid>
      <w:tr>
        <w:trPr>
          <w:tblHeader/>
        </w:trPr>
        <w:tc>
          <w:tcPr>
            <w:tcW w:type="dxa" w:w="1900"/>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Paso</w:t>
            </w:r>
          </w:p>
        </w:tc>
        <w:tc>
          <w:tcPr>
            <w:tcW w:type="dxa" w:w="7126"/>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Qué ocurre y cómo se puede revisar</w:t>
            </w:r>
          </w:p>
        </w:tc>
      </w:tr>
      <w:tr>
        <w:trPr>
          <w:tblHeader w:val="false"/>
        </w:trPr>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Entrada</w:t>
            </w:r>
          </w:p>
        </w:tc>
        <w:tc>
          <w:tcPr>
            <w:tcW w:type="dxa" w:w="71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Dirección IP o red base, prefijo CIDR (1 a 30 en la calculadora) y hosts requeridos por subred. Se validan formato y rangos; una IP inválida o un VLSM que no cabe producen un aviso, no un resultado.</w:t>
            </w:r>
          </w:p>
        </w:tc>
      </w:tr>
      <w:tr>
        <w:trPr>
          <w:tblHeader w:val="false"/>
        </w:trPr>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Regla</w:t>
            </w:r>
          </w:p>
        </w:tc>
        <w:tc>
          <w:tcPr>
            <w:tcW w:type="dxa" w:w="71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Red = IP AND máscara; broadcast = red con todos los bits de host en 1; hosts utilizables = 2^n − 2. VLSM: ordenar de mayor a menor, asignar el bloque mínimo (2^n − 2 ≥ hosts) en la primera posición alineada libre. Caso /31: 2 hosts utilizables según RFC 3021 (decisión de los autores, incorporada en index_v2.html).</w:t>
            </w:r>
          </w:p>
        </w:tc>
      </w:tr>
      <w:tr>
        <w:trPr>
          <w:tblHeader w:val="false"/>
        </w:trPr>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Resultado</w:t>
            </w:r>
          </w:p>
        </w:tc>
        <w:tc>
          <w:tcPr>
            <w:tcW w:type="dxa" w:w="71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Red, máscara, wildcard, broadcast, rango, hosts utilizables; en VLSM, tabla por subred, mapa del espacio y direcciones libres.</w:t>
            </w:r>
          </w:p>
        </w:tc>
      </w:tr>
      <w:tr>
        <w:trPr>
          <w:tblHeader w:val="false"/>
        </w:trPr>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Evidencia</w:t>
            </w:r>
          </w:p>
        </w:tc>
        <w:tc>
          <w:tcPr>
            <w:tcW w:type="dxa" w:w="71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a) 10 de 10 ejercicios calculados a mano por los dos profesores coinciden con el tutor. b) 50 de 50 casos (30 de subnetting, 20 de VLSM) coinciden con un cálculo independiente hecho con el módulo ipaddress de Python, más 2 de 2 casos de control (IP inválida y VLSM que no cabe); semilla fija 20261006, repetible con evidencia/verificar_tutor.py. c) Piloto: 2 estudiantes resolvieron 8 ejercicios (2 de subnetting y 2 de VLSM cada uno) con 8 aciertos. d) 8 pruebas de regresión de las correcciones pasan en index_v2.html (evidencia/regresion_v2.py).</w:t>
            </w:r>
          </w:p>
        </w:tc>
      </w:tr>
    </w:tbl>
    <w:p>
      <w:pPr>
        <w:pStyle w:val="Heading1"/>
        <w:spacing w:after="120" w:before="280"/>
      </w:pPr>
      <w:r>
        <w:t xml:space="preserve">3. Aportes de la IA y de las personas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1900"/>
        <w:gridCol w:w="1900"/>
        <w:gridCol w:w="1726"/>
      </w:tblGrid>
      <w:tr>
        <w:trPr>
          <w:tblHeader/>
        </w:trPr>
        <w:tc>
          <w:tcPr>
            <w:tcW w:type="dxa" w:w="1500"/>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Herramienta</w:t>
            </w:r>
          </w:p>
        </w:tc>
        <w:tc>
          <w:tcPr>
            <w:tcW w:type="dxa" w:w="2000"/>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Tarea</w:t>
            </w:r>
          </w:p>
        </w:tc>
        <w:tc>
          <w:tcPr>
            <w:tcW w:type="dxa" w:w="1900"/>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Entrada</w:t>
            </w:r>
          </w:p>
        </w:tc>
        <w:tc>
          <w:tcPr>
            <w:tcW w:type="dxa" w:w="1900"/>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Producto</w:t>
            </w:r>
          </w:p>
        </w:tc>
        <w:tc>
          <w:tcPr>
            <w:tcW w:type="dxa" w:w="1726"/>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Quién revisó</w:t>
            </w:r>
          </w:p>
        </w:tc>
      </w:tr>
      <w:tr>
        <w:trPr>
          <w:tblHeader w:val="false"/>
        </w:trPr>
        <w:tc>
          <w:tcPr>
            <w:tcW w:type="dxa" w:w="15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Claude</w:t>
            </w:r>
          </w:p>
        </w:tc>
        <w:tc>
          <w:tcPr>
            <w:tcW w:type="dxa" w:w="20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Programar el tutor</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Procedimiento de cálculo y ejemplos aportados por los profesores</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index.html (publicado en GitHub Pages)</w:t>
            </w:r>
          </w:p>
        </w:tc>
        <w:tc>
          <w:tcPr>
            <w:tcW w:type="dxa" w:w="1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Ambos profesores: 10 ejercicios a mano</w:t>
            </w:r>
          </w:p>
        </w:tc>
      </w:tr>
      <w:tr>
        <w:trPr>
          <w:tblHeader w:val="false"/>
        </w:trPr>
        <w:tc>
          <w:tcPr>
            <w:tcW w:type="dxa" w:w="15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Claude (Cowork)</w:t>
            </w:r>
          </w:p>
        </w:tc>
        <w:tc>
          <w:tcPr>
            <w:tcW w:type="dxa" w:w="20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Verificación automática y revisión del código</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index.html</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Banco de 50 casos; hallazgo de 3 fallas: aviso «Vas muy bien» siempre visible, mensaje general de retroalimentación oculto, /31 con 0 hosts</w:t>
            </w:r>
          </w:p>
        </w:tc>
        <w:tc>
          <w:tcPr>
            <w:tcW w:type="dxa" w:w="1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T. Castillo aprobó las correcciones</w:t>
            </w:r>
          </w:p>
        </w:tc>
      </w:tr>
      <w:tr>
        <w:trPr>
          <w:tblHeader w:val="false"/>
        </w:trPr>
        <w:tc>
          <w:tcPr>
            <w:tcW w:type="dxa" w:w="15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Claude (Cowork)</w:t>
            </w:r>
          </w:p>
        </w:tc>
        <w:tc>
          <w:tcPr>
            <w:tcW w:type="dxa" w:w="20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Corregir las 3 fallas</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index.html y decisión docente sobre /31</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index_v2.html y pruebas de regresión</w:t>
            </w:r>
          </w:p>
        </w:tc>
        <w:tc>
          <w:tcPr>
            <w:tcW w:type="dxa" w:w="1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T. Castillo aprobó; los autores publicaron la versión el 11 oct. 2026</w:t>
            </w:r>
          </w:p>
        </w:tc>
      </w:tr>
      <w:tr>
        <w:trPr>
          <w:tblHeader w:val="false"/>
        </w:trPr>
        <w:tc>
          <w:tcPr>
            <w:tcW w:type="dxa" w:w="15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Claude (Cowork)</w:t>
            </w:r>
          </w:p>
        </w:tc>
        <w:tc>
          <w:tcPr>
            <w:tcW w:type="dxa" w:w="20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Capturas, guiones ES/EN, presentaciones, textos de narración, montaje de videos, esta nota</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Respuestas del inventario y archivos del proyecto</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Archivos listados en la sección 4</w:t>
            </w:r>
          </w:p>
        </w:tc>
        <w:tc>
          <w:tcPr>
            <w:tcW w:type="dxa" w:w="1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T. Castillo aprobó cada fase; W. Guerrero revisó y está de acuerdo con el contenido</w:t>
            </w:r>
          </w:p>
        </w:tc>
      </w:tr>
      <w:tr>
        <w:trPr>
          <w:tblHeader w:val="false"/>
        </w:trPr>
        <w:tc>
          <w:tcPr>
            <w:tcW w:type="dxa" w:w="15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ElevenLabs</w:t>
            </w:r>
          </w:p>
        </w:tc>
        <w:tc>
          <w:tcPr>
            <w:tcW w:type="dxa" w:w="20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Narración con voz de IA</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Guion aprobado ES y EN</w:t>
            </w:r>
          </w:p>
        </w:tc>
        <w:tc>
          <w:tcPr>
            <w:tcW w:type="dxa" w:w="19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20 audios (ES_01 … EN_10)</w:t>
            </w:r>
          </w:p>
        </w:tc>
        <w:tc>
          <w:tcPr>
            <w:tcW w:type="dxa" w:w="1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Los autores revisaron los dos videos completos</w:t>
            </w:r>
          </w:p>
        </w:tc>
      </w:tr>
    </w:tbl>
    <w:p>
      <w:pPr>
        <w:spacing w:after="120" w:before="120"/>
      </w:pPr>
      <w:r>
        <w:rPr>
          <w:i/>
          <w:iCs/>
          <w:sz w:val="20"/>
          <w:szCs w:val="20"/>
        </w:rPr>
        <w:t xml:space="preserve">Nota: los videos se montaron desde Claude (Cowork) con ffmpeg y LibreOffice, con acceso a la carpeta del proyecto, y no en Claude Code como sugiere la guía del curso. El procedimiento está en evidencia/hacer_video.sh y puede ejecutarse en Claude Code sin cambios.</w:t>
      </w:r>
    </w:p>
    <w:p>
      <w:pPr>
        <w:pStyle w:val="Heading1"/>
        <w:spacing w:after="120" w:before="280"/>
      </w:pPr>
      <w:r>
        <w:t xml:space="preserve">4. Versiones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300"/>
        <w:gridCol w:w="4726"/>
      </w:tblGrid>
      <w:tr>
        <w:trPr>
          <w:tblHeader/>
        </w:trPr>
        <w:tc>
          <w:tcPr>
            <w:tcW w:type="dxa" w:w="4300"/>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Archivo</w:t>
            </w:r>
          </w:p>
        </w:tc>
        <w:tc>
          <w:tcPr>
            <w:tcW w:type="dxa" w:w="4726"/>
            <w:tcBorders>
              <w:top w:val="single" w:color="CBD2E0" w:sz="4"/>
              <w:left w:val="single" w:color="CBD2E0" w:sz="4"/>
              <w:bottom w:val="single" w:color="CBD2E0" w:sz="4"/>
              <w:right w:val="single" w:color="CBD2E0" w:sz="4"/>
            </w:tcBorders>
            <w:shd w:fill="0B1020" w:color="auto" w:val="clear"/>
            <w:tcMar>
              <w:top w:type="dxa" w:w="60"/>
              <w:left w:type="dxa" w:w="90"/>
              <w:bottom w:type="dxa" w:w="60"/>
              <w:right w:type="dxa" w:w="90"/>
            </w:tcMar>
          </w:tcPr>
          <w:p>
            <w:r>
              <w:rPr>
                <w:b/>
                <w:bCs/>
                <w:color w:val="FFFFFF"/>
                <w:sz w:val="18"/>
                <w:szCs w:val="18"/>
              </w:rPr>
              <w:t xml:space="preserve">Corresponde a</w:t>
            </w:r>
          </w:p>
        </w:tc>
      </w:tr>
      <w:tr>
        <w:trPr>
          <w:tblHeader w:val="false"/>
        </w:trPr>
        <w:tc>
          <w:tcPr>
            <w:tcW w:type="dxa" w:w="43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index.html (anterior a la revisión del 6 oct. 2026)</w:t>
            </w:r>
          </w:p>
        </w:tc>
        <w:tc>
          <w:tcPr>
            <w:tcW w:type="dxa" w:w="4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Versión usada en el piloto y en la prueba manual; reemplazada el 11 oct. 2026</w:t>
            </w:r>
          </w:p>
        </w:tc>
      </w:tr>
      <w:tr>
        <w:trPr>
          <w:tblHeader w:val="false"/>
        </w:trPr>
        <w:tc>
          <w:tcPr>
            <w:tcW w:type="dxa" w:w="43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index_v2.html (6 oct. 2026)</w:t>
            </w:r>
          </w:p>
        </w:tc>
        <w:tc>
          <w:tcPr>
            <w:tcW w:type="dxa" w:w="4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Versión corregida, usada en las capturas y en la verificación v2. Publicada como index.html en https://tuesman.github.io/tutor-vlsm/ el 11 oct. 2026; se comprobó en línea que incluye las tres correcciones.</w:t>
            </w:r>
          </w:p>
        </w:tc>
      </w:tr>
      <w:tr>
        <w:trPr>
          <w:tblHeader w:val="false"/>
        </w:trPr>
        <w:tc>
          <w:tcPr>
            <w:tcW w:type="dxa" w:w="43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evidencia/verificacion_automatica_2026-10-06.json y _v2_2026-10-06.json</w:t>
            </w:r>
          </w:p>
        </w:tc>
        <w:tc>
          <w:tcPr>
            <w:tcW w:type="dxa" w:w="4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Resultados de los 50 casos sobre index.html e index_v2.html</w:t>
            </w:r>
          </w:p>
        </w:tc>
      </w:tr>
      <w:tr>
        <w:trPr>
          <w:tblHeader w:val="false"/>
        </w:trPr>
        <w:tc>
          <w:tcPr>
            <w:tcW w:type="dxa" w:w="43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guion/VC-2026-015-022_Guion_ES_v2.md y _Guion_EN_v1.md</w:t>
            </w:r>
          </w:p>
        </w:tc>
        <w:tc>
          <w:tcPr>
            <w:tcW w:type="dxa" w:w="4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Guiones aprobados; coinciden con las notas del orador</w:t>
            </w:r>
          </w:p>
        </w:tc>
      </w:tr>
      <w:tr>
        <w:trPr>
          <w:tblHeader w:val="false"/>
        </w:trPr>
        <w:tc>
          <w:tcPr>
            <w:tcW w:type="dxa" w:w="43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VC-2026-015-022_ProyectoFinal_ES.pptx y _EN.pptx</w:t>
            </w:r>
          </w:p>
        </w:tc>
        <w:tc>
          <w:tcPr>
            <w:tcW w:type="dxa" w:w="4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Presentaciones de 10 diapositivas</w:t>
            </w:r>
          </w:p>
        </w:tc>
      </w:tr>
      <w:tr>
        <w:trPr>
          <w:tblHeader w:val="false"/>
        </w:trPr>
        <w:tc>
          <w:tcPr>
            <w:tcW w:type="dxa" w:w="43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audio_presentacion/ES_01 … EN_10.mp3</w:t>
            </w:r>
          </w:p>
        </w:tc>
        <w:tc>
          <w:tcPr>
            <w:tcW w:type="dxa" w:w="4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Narración ElevenLabs</w:t>
            </w:r>
          </w:p>
        </w:tc>
      </w:tr>
      <w:tr>
        <w:trPr>
          <w:tblHeader w:val="false"/>
        </w:trPr>
        <w:tc>
          <w:tcPr>
            <w:tcW w:type="dxa" w:w="43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VC-2026-015-022_ProyectoFinal_ES.mp4 (4:35) y _EN.mp4 (4:36)</w:t>
            </w:r>
          </w:p>
        </w:tc>
        <w:tc>
          <w:tcPr>
            <w:tcW w:type="dxa" w:w="4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Videos entregados, 1920 × 1080</w:t>
            </w:r>
          </w:p>
        </w:tc>
      </w:tr>
      <w:tr>
        <w:trPr>
          <w:tblHeader w:val="false"/>
        </w:trPr>
        <w:tc>
          <w:tcPr>
            <w:tcW w:type="dxa" w:w="4300"/>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Repositorio público vibe-coding-proyecto-final</w:t>
            </w:r>
          </w:p>
        </w:tc>
        <w:tc>
          <w:tcPr>
            <w:tcW w:type="dxa" w:w="4726"/>
            <w:tcBorders>
              <w:top w:val="single" w:color="CBD2E0" w:sz="4"/>
              <w:left w:val="single" w:color="CBD2E0" w:sz="4"/>
              <w:bottom w:val="single" w:color="CBD2E0" w:sz="4"/>
              <w:right w:val="single" w:color="CBD2E0" w:sz="4"/>
            </w:tcBorders>
            <w:tcMar>
              <w:top w:type="dxa" w:w="60"/>
              <w:left w:type="dxa" w:w="90"/>
              <w:bottom w:type="dxa" w:w="60"/>
              <w:right w:type="dxa" w:w="90"/>
            </w:tcMar>
          </w:tcPr>
          <w:p>
            <w:r>
              <w:rPr>
                <w:b w:val="false"/>
                <w:bCs w:val="false"/>
                <w:sz w:val="18"/>
                <w:szCs w:val="18"/>
              </w:rPr>
              <w:t xml:space="preserve">Página del proyecto: https://tuesman.github.io/vibe-coding-proyecto-final/ con los dos videos, las dos presentaciones y esta nota; videos comprobados en línea el 11 oct. 2026</w:t>
            </w:r>
          </w:p>
        </w:tc>
      </w:tr>
    </w:tbl>
    <w:p>
      <w:pPr>
        <w:pStyle w:val="Heading1"/>
        <w:spacing w:after="120" w:before="280"/>
      </w:pPr>
      <w:r>
        <w:t xml:space="preserve">5. Alcance y declaración de uso de IA</w:t>
      </w:r>
    </w:p>
    <w:p>
      <w:pPr>
        <w:spacing w:after="120"/>
      </w:pPr>
      <w:r>
        <w:rPr>
          <w:b/>
          <w:bCs/>
        </w:rPr>
        <w:t xml:space="preserve">Se puede concluir: </w:t>
      </w:r>
      <w:r>
        <w:t xml:space="preserve">en los 60 casos comprobados (10 a mano y 50 automáticos) los cálculos del tutor coinciden con la referencia; los avisos ante entradas inválidas funcionan; dos estudiantes pudieron usarlo para resolver ejercicios asignados.</w:t>
      </w:r>
    </w:p>
    <w:p>
      <w:pPr>
        <w:spacing w:after="120"/>
      </w:pPr>
      <w:r>
        <w:rPr>
          <w:b/>
          <w:bCs/>
        </w:rPr>
        <w:t xml:space="preserve">No se puede concluir: </w:t>
      </w:r>
      <w:r>
        <w:t xml:space="preserve">que el tutor mejore el aprendizaje, que funcione igual con otros grupos o que esté libre de errores en casos no probados. El piloto tiene dos estudiantes y no permite generalizar. No se midió el tiempo docente; la frase del video sobre dedicar menos tiempo a corregir es una expectativa.</w:t>
      </w:r>
    </w:p>
    <w:p>
      <w:pPr>
        <w:spacing w:after="120"/>
      </w:pPr>
      <w:r>
        <w:rPr>
          <w:b/>
          <w:bCs/>
        </w:rPr>
        <w:t xml:space="preserve">Declaración de uso de IA: </w:t>
      </w:r>
      <w:r>
        <w:t xml:space="preserve">el código del tutor fue escrito por Claude a partir del procedimiento de los profesores. Claude apoyó además la verificación, las correcciones, los guiones, las presentaciones, el montaje de los videos y la redacción de esta nota. La narración se generó con voz de IA de ElevenLabs. Los autores definieron el contenido, comprobaron los cálculos, aprobaron cada fase y son responsables del resultado. No se usaron datos personales: las capturas usan datos de ejemplo.</w:t>
      </w:r>
    </w:p>
    <w:p>
      <w:pPr>
        <w:pStyle w:val="Heading1"/>
        <w:spacing w:after="120" w:before="280"/>
      </w:pPr>
      <w:r>
        <w:t xml:space="preserve">6. Plan de mantenimiento</w:t>
      </w:r>
    </w:p>
    <w:p>
      <w:pPr>
        <w:spacing w:after="120"/>
      </w:pPr>
      <w:r>
        <w:rPr>
          <w:b/>
          <w:bCs/>
        </w:rPr>
        <w:t xml:space="preserve">Rol responsable: </w:t>
      </w:r>
      <w:r>
        <w:t xml:space="preserve">Wilson Fernando Guerrero Álvarez (Universidad UTE), quien acepta el mantenimiento del tutor. Tuesman Castillo mantiene el acceso al repositorio tutor-vlsm en GitHub.</w:t>
      </w:r>
    </w:p>
    <w:p>
      <w:pPr>
        <w:spacing w:after="120"/>
      </w:pPr>
      <w:r>
        <w:rPr>
          <w:b/>
          <w:bCs/>
        </w:rPr>
        <w:t xml:space="preserve">Cambios que activan una revisión: </w:t>
      </w:r>
    </w:p>
    <w:p>
      <w:pPr>
        <w:pStyle w:val="ListParagraph"/>
        <w:numPr>
          <w:ilvl w:val="0"/>
          <w:numId w:val="2"/>
        </w:numPr>
        <w:spacing w:after="60"/>
      </w:pPr>
      <w:r>
        <w:t xml:space="preserve">Cualquier cambio en las funciones de cálculo (computeSubnetInfo, calcularVLSM, generadores de ejercicios).</w:t>
      </w:r>
    </w:p>
    <w:p>
      <w:pPr>
        <w:pStyle w:val="ListParagraph"/>
        <w:numPr>
          <w:ilvl w:val="0"/>
          <w:numId w:val="2"/>
        </w:numPr>
        <w:spacing w:after="60"/>
      </w:pPr>
      <w:r>
        <w:t xml:space="preserve">Un error reportado por un estudiante o docente.</w:t>
      </w:r>
    </w:p>
    <w:p>
      <w:pPr>
        <w:pStyle w:val="ListParagraph"/>
        <w:numPr>
          <w:ilvl w:val="0"/>
          <w:numId w:val="2"/>
        </w:numPr>
        <w:spacing w:after="60"/>
      </w:pPr>
      <w:r>
        <w:t xml:space="preserve">Un cambio de convención (por ejemplo, el tratamiento de /31 o /32) o del plan de estudios.</w:t>
      </w:r>
    </w:p>
    <w:p>
      <w:pPr>
        <w:pStyle w:val="ListParagraph"/>
        <w:numPr>
          <w:ilvl w:val="0"/>
          <w:numId w:val="2"/>
        </w:numPr>
        <w:spacing w:after="60"/>
      </w:pPr>
      <w:r>
        <w:t xml:space="preserve">Integración con Canvas u otro LMS (SCORM o LTI).</w:t>
      </w:r>
    </w:p>
    <w:p>
      <w:pPr>
        <w:spacing w:after="120"/>
      </w:pPr>
      <w:r>
        <w:rPr>
          <w:b/>
          <w:bCs/>
        </w:rPr>
        <w:t xml:space="preserve">Qué hacer si falla: </w:t>
      </w:r>
    </w:p>
    <w:p>
      <w:pPr>
        <w:pStyle w:val="ListParagraph"/>
        <w:numPr>
          <w:ilvl w:val="0"/>
          <w:numId w:val="2"/>
        </w:numPr>
        <w:spacing w:after="60"/>
      </w:pPr>
      <w:r>
        <w:t xml:space="preserve">Detener el uso del resultado afectado y avisar a los estudiantes que usen el cálculo manual.</w:t>
      </w:r>
    </w:p>
    <w:p>
      <w:pPr>
        <w:pStyle w:val="ListParagraph"/>
        <w:numPr>
          <w:ilvl w:val="0"/>
          <w:numId w:val="2"/>
        </w:numPr>
        <w:spacing w:after="60"/>
      </w:pPr>
      <w:r>
        <w:t xml:space="preserve">Conservar la evidencia: entrada exacta, semilla del ejercicio y captura de pantalla.</w:t>
      </w:r>
    </w:p>
    <w:p>
      <w:pPr>
        <w:pStyle w:val="ListParagraph"/>
        <w:numPr>
          <w:ilvl w:val="0"/>
          <w:numId w:val="2"/>
        </w:numPr>
        <w:spacing w:after="60"/>
      </w:pPr>
      <w:r>
        <w:t xml:space="preserve">Revisar: reproducir el caso y ejecutar de nuevo evidencia/verificar_tutor.py y regresion_v2.py.</w:t>
      </w:r>
    </w:p>
    <w:p>
      <w:pPr>
        <w:pStyle w:val="ListParagraph"/>
        <w:numPr>
          <w:ilvl w:val="0"/>
          <w:numId w:val="2"/>
        </w:numPr>
        <w:spacing w:after="60"/>
      </w:pPr>
      <w:r>
        <w:t xml:space="preserve">Decidir: corregir y publicar una versión nueva con fecha, o retirar la función afectada.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373"/>
        <w:sz w:val="16"/>
        <w:szCs w:val="16"/>
      </w:rPr>
      <w:t xml:space="preserve">VC-2026-015-022 · Nota metodológica v2 · página </w:t>
    </w:r>
    <w:r>
      <w:rPr>
        <w:color w:val="5B63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mbria" w:cs="Cambria" w:eastAsia="Cambria" w:hAnsi="Cambria"/>
      <w:b/>
      <w:bCs/>
      <w:color w:val="0B1020"/>
      <w:sz w:val="28"/>
      <w:szCs w:val="28"/>
    </w:rPr>
  </w:style>
  <w:style w:type="paragraph" w:styleId="Title">
    <w:name w:val="Title"/>
    <w:basedOn w:val="Normal"/>
    <w:rPr>
      <w:rFonts w:ascii="Cambria" w:cs="Cambria" w:eastAsia="Cambria" w:hAnsi="Cambria"/>
      <w:b/>
      <w:bCs/>
      <w:color w:val="0B1020"/>
      <w:sz w:val="40"/>
      <w:szCs w:val="4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metodológica · Tutor Interactivo de Subredes y VLSM</dc:title>
  <dc:creator>Wilson Fernando Guerrero Álvarez; Tuesman Daniel Castillo Calvas</dc:creator>
  <cp:lastModifiedBy>Un-named</cp:lastModifiedBy>
  <cp:revision>1</cp:revision>
  <dcterms:created xsi:type="dcterms:W3CDTF">2026-10-12T00:52:34.657Z</dcterms:created>
  <dcterms:modified xsi:type="dcterms:W3CDTF">2026-10-12T00:52:34.657Z</dcterms:modified>
</cp:coreProperties>
</file>

<file path=docProps/custom.xml><?xml version="1.0" encoding="utf-8"?>
<Properties xmlns="http://schemas.openxmlformats.org/officeDocument/2006/custom-properties" xmlns:vt="http://schemas.openxmlformats.org/officeDocument/2006/docPropsVTypes"/>
</file>